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E291E" w14:textId="7777777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B1063A">
        <w:rPr>
          <w:noProof w:val="0"/>
          <w:sz w:val="24"/>
          <w:szCs w:val="24"/>
        </w:rPr>
        <w:t>6</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D4BCF">
        <w:rPr>
          <w:bCs/>
          <w:noProof w:val="0"/>
          <w:sz w:val="24"/>
          <w:szCs w:val="24"/>
        </w:rPr>
        <w:t>9</w:t>
      </w:r>
      <w:r w:rsidR="002F65CD">
        <w:rPr>
          <w:bCs/>
          <w:noProof w:val="0"/>
          <w:sz w:val="24"/>
          <w:szCs w:val="24"/>
        </w:rPr>
        <w:t>7543</w:t>
      </w:r>
    </w:p>
    <w:p w14:paraId="115C3520" w14:textId="77777777" w:rsidR="00CD4C7B" w:rsidRPr="002F65CD" w:rsidRDefault="00B1063A" w:rsidP="00CD4C7B">
      <w:pPr>
        <w:pStyle w:val="Header"/>
        <w:tabs>
          <w:tab w:val="right" w:pos="9639"/>
        </w:tabs>
        <w:rPr>
          <w:bCs/>
          <w:noProof w:val="0"/>
          <w:sz w:val="24"/>
          <w:szCs w:val="24"/>
          <w:lang w:val="nb-NO"/>
        </w:rPr>
      </w:pPr>
      <w:bookmarkStart w:id="1" w:name="_Hlk490060723"/>
      <w:r w:rsidRPr="002F65CD">
        <w:rPr>
          <w:rFonts w:cs="Arial"/>
          <w:sz w:val="24"/>
          <w:szCs w:val="24"/>
          <w:lang w:val="nb-NO"/>
        </w:rPr>
        <w:t>Reno (NV)</w:t>
      </w:r>
      <w:r w:rsidR="001370F2" w:rsidRPr="002F65CD">
        <w:rPr>
          <w:rFonts w:cs="Arial"/>
          <w:sz w:val="24"/>
          <w:szCs w:val="24"/>
          <w:lang w:val="nb-NO"/>
        </w:rPr>
        <w:t xml:space="preserve">, </w:t>
      </w:r>
      <w:r w:rsidRPr="002F65CD">
        <w:rPr>
          <w:rFonts w:cs="Arial"/>
          <w:sz w:val="24"/>
          <w:szCs w:val="24"/>
          <w:lang w:val="nb-NO"/>
        </w:rPr>
        <w:t>USA</w:t>
      </w:r>
      <w:r w:rsidR="001370F2" w:rsidRPr="002F65CD">
        <w:rPr>
          <w:rFonts w:cs="Arial"/>
          <w:sz w:val="24"/>
          <w:szCs w:val="24"/>
          <w:lang w:val="nb-NO"/>
        </w:rPr>
        <w:t xml:space="preserve">, </w:t>
      </w:r>
      <w:r w:rsidR="00CB6651" w:rsidRPr="002F65CD">
        <w:rPr>
          <w:rFonts w:cs="Arial"/>
          <w:sz w:val="24"/>
          <w:szCs w:val="24"/>
          <w:lang w:val="nb-NO"/>
        </w:rPr>
        <w:t>1</w:t>
      </w:r>
      <w:r w:rsidRPr="002F65CD">
        <w:rPr>
          <w:rFonts w:cs="Arial"/>
          <w:sz w:val="24"/>
          <w:szCs w:val="24"/>
          <w:lang w:val="nb-NO"/>
        </w:rPr>
        <w:t>8</w:t>
      </w:r>
      <w:r w:rsidR="001370F2" w:rsidRPr="002F65CD">
        <w:rPr>
          <w:rFonts w:cs="Arial"/>
          <w:sz w:val="24"/>
          <w:szCs w:val="24"/>
          <w:lang w:val="nb-NO"/>
        </w:rPr>
        <w:t xml:space="preserve"> – </w:t>
      </w:r>
      <w:r w:rsidRPr="002F65CD">
        <w:rPr>
          <w:rFonts w:cs="Arial"/>
          <w:sz w:val="24"/>
          <w:szCs w:val="24"/>
          <w:lang w:val="nb-NO"/>
        </w:rPr>
        <w:t>22</w:t>
      </w:r>
      <w:r w:rsidR="001370F2" w:rsidRPr="002F65CD">
        <w:rPr>
          <w:rFonts w:cs="Arial"/>
          <w:sz w:val="24"/>
          <w:szCs w:val="24"/>
          <w:lang w:val="nb-NO"/>
        </w:rPr>
        <w:t xml:space="preserve"> </w:t>
      </w:r>
      <w:r w:rsidRPr="002F65CD">
        <w:rPr>
          <w:rFonts w:cs="Arial"/>
          <w:sz w:val="24"/>
          <w:szCs w:val="24"/>
          <w:lang w:val="nb-NO"/>
        </w:rPr>
        <w:t>November</w:t>
      </w:r>
      <w:r w:rsidR="009C4D5C" w:rsidRPr="002F65CD">
        <w:rPr>
          <w:rFonts w:eastAsia="SimSun"/>
          <w:noProof w:val="0"/>
          <w:sz w:val="24"/>
          <w:szCs w:val="24"/>
          <w:lang w:val="nb-NO" w:eastAsia="zh-CN"/>
        </w:rPr>
        <w:t>,</w:t>
      </w:r>
      <w:r w:rsidR="005D4274" w:rsidRPr="002F65CD">
        <w:rPr>
          <w:rFonts w:eastAsia="SimSun"/>
          <w:noProof w:val="0"/>
          <w:sz w:val="24"/>
          <w:szCs w:val="24"/>
          <w:lang w:val="nb-NO" w:eastAsia="zh-CN"/>
        </w:rPr>
        <w:t xml:space="preserve"> </w:t>
      </w:r>
      <w:bookmarkEnd w:id="1"/>
      <w:r w:rsidR="00CD4C7B" w:rsidRPr="002F65CD">
        <w:rPr>
          <w:rFonts w:eastAsia="SimSun"/>
          <w:noProof w:val="0"/>
          <w:sz w:val="24"/>
          <w:szCs w:val="24"/>
          <w:lang w:val="nb-NO" w:eastAsia="zh-CN"/>
        </w:rPr>
        <w:t>20</w:t>
      </w:r>
      <w:r w:rsidR="003454FC" w:rsidRPr="002F65CD">
        <w:rPr>
          <w:rFonts w:eastAsia="SimSun"/>
          <w:noProof w:val="0"/>
          <w:sz w:val="24"/>
          <w:szCs w:val="24"/>
          <w:lang w:val="nb-NO" w:eastAsia="zh-CN"/>
        </w:rPr>
        <w:t>1</w:t>
      </w:r>
      <w:r w:rsidR="00AD4BCF" w:rsidRPr="002F65CD">
        <w:rPr>
          <w:rFonts w:eastAsia="SimSun"/>
          <w:noProof w:val="0"/>
          <w:sz w:val="24"/>
          <w:szCs w:val="24"/>
          <w:lang w:val="nb-NO" w:eastAsia="zh-CN"/>
        </w:rPr>
        <w:t>9</w:t>
      </w:r>
    </w:p>
    <w:p w14:paraId="196EBC35" w14:textId="77777777" w:rsidR="00CD4C7B" w:rsidRPr="002F65CD" w:rsidRDefault="00CD4C7B" w:rsidP="00CD4C7B">
      <w:pPr>
        <w:pStyle w:val="Header"/>
        <w:rPr>
          <w:bCs/>
          <w:noProof w:val="0"/>
          <w:sz w:val="24"/>
          <w:lang w:val="nb-NO"/>
        </w:rPr>
      </w:pPr>
    </w:p>
    <w:p w14:paraId="4836FDD8" w14:textId="77777777" w:rsidR="00CD4C7B" w:rsidRPr="002F65CD" w:rsidRDefault="00CD4C7B" w:rsidP="00CD4C7B">
      <w:pPr>
        <w:pStyle w:val="Header"/>
        <w:rPr>
          <w:bCs/>
          <w:noProof w:val="0"/>
          <w:sz w:val="24"/>
          <w:lang w:val="nb-NO"/>
        </w:rPr>
      </w:pPr>
    </w:p>
    <w:p w14:paraId="00B510FA" w14:textId="77777777" w:rsidR="00CD4C7B" w:rsidRPr="002F65CD" w:rsidRDefault="00CD4C7B" w:rsidP="00CD4C7B">
      <w:pPr>
        <w:pStyle w:val="CRCoverPage"/>
        <w:tabs>
          <w:tab w:val="left" w:pos="1985"/>
        </w:tabs>
        <w:rPr>
          <w:rFonts w:cs="Arial"/>
          <w:b/>
          <w:bCs/>
          <w:sz w:val="24"/>
          <w:lang w:val="nb-NO" w:eastAsia="ja-JP"/>
        </w:rPr>
      </w:pPr>
      <w:r w:rsidRPr="002F65CD">
        <w:rPr>
          <w:rFonts w:cs="Arial"/>
          <w:b/>
          <w:bCs/>
          <w:sz w:val="24"/>
          <w:lang w:val="nb-NO"/>
        </w:rPr>
        <w:t>Agenda item:</w:t>
      </w:r>
      <w:r w:rsidRPr="002F65CD">
        <w:rPr>
          <w:rFonts w:cs="Arial"/>
          <w:b/>
          <w:bCs/>
          <w:sz w:val="24"/>
          <w:lang w:val="nb-NO"/>
        </w:rPr>
        <w:tab/>
      </w:r>
      <w:r w:rsidR="002F65CD">
        <w:rPr>
          <w:rFonts w:cs="Arial"/>
          <w:b/>
          <w:bCs/>
          <w:sz w:val="24"/>
          <w:lang w:val="nb-NO" w:eastAsia="ja-JP"/>
        </w:rPr>
        <w:t>9.3.1</w:t>
      </w:r>
    </w:p>
    <w:p w14:paraId="3D59019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A9DDABE"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65CD">
        <w:rPr>
          <w:rFonts w:ascii="Arial" w:hAnsi="Arial" w:cs="Arial"/>
          <w:b/>
          <w:bCs/>
          <w:sz w:val="24"/>
        </w:rPr>
        <w:t>Summary of offline discussion on construction of NCGI</w:t>
      </w:r>
    </w:p>
    <w:p w14:paraId="34DD596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ABBAEF8" w14:textId="77777777" w:rsidR="00CD4C7B" w:rsidRPr="006E13D1" w:rsidRDefault="00CD4C7B" w:rsidP="00CD4C7B">
      <w:pPr>
        <w:pStyle w:val="Heading1"/>
      </w:pPr>
      <w:r w:rsidRPr="006E13D1">
        <w:t>1</w:t>
      </w:r>
      <w:r w:rsidRPr="006E13D1">
        <w:tab/>
      </w:r>
      <w:r w:rsidR="0056573F">
        <w:t>Introduction</w:t>
      </w:r>
    </w:p>
    <w:p w14:paraId="7D341ECE" w14:textId="77777777" w:rsidR="00CD4C7B" w:rsidRDefault="002F65CD" w:rsidP="00CD4C7B">
      <w:r>
        <w:t>This paper provides s</w:t>
      </w:r>
      <w:r w:rsidRPr="002F65CD">
        <w:t>ummary of offline discussion</w:t>
      </w:r>
      <w:r>
        <w:t xml:space="preserve"> for the following comeback:</w:t>
      </w:r>
    </w:p>
    <w:p w14:paraId="538EC650" w14:textId="77777777" w:rsidR="002F65CD" w:rsidRDefault="002F65CD" w:rsidP="002F65C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 13_NCGI-TAI_multiCellIDs</w:t>
      </w:r>
    </w:p>
    <w:p w14:paraId="275AC01C" w14:textId="77777777" w:rsidR="002F65CD" w:rsidRDefault="002F65CD" w:rsidP="002F65CD">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Clear problem statement</w:t>
      </w:r>
    </w:p>
    <w:p w14:paraId="5F88ABDD" w14:textId="77777777" w:rsidR="002F65CD" w:rsidRDefault="002F65CD" w:rsidP="002F65CD">
      <w:pPr>
        <w:widowControl w:val="0"/>
        <w:spacing w:after="0"/>
        <w:ind w:left="144" w:hanging="144"/>
        <w:rPr>
          <w:rFonts w:ascii="Calibri" w:hAnsi="Calibri" w:cs="Calibri"/>
          <w:color w:val="000000"/>
          <w:sz w:val="18"/>
          <w:szCs w:val="24"/>
        </w:rPr>
      </w:pPr>
      <w:r>
        <w:rPr>
          <w:rFonts w:ascii="Calibri" w:hAnsi="Calibri" w:cs="Calibri"/>
          <w:color w:val="000000"/>
          <w:sz w:val="18"/>
          <w:szCs w:val="24"/>
        </w:rPr>
        <w:t>(</w:t>
      </w:r>
      <w:proofErr w:type="spellStart"/>
      <w:r>
        <w:rPr>
          <w:rFonts w:ascii="Calibri" w:hAnsi="Calibri" w:cs="Calibri"/>
          <w:color w:val="000000"/>
          <w:sz w:val="18"/>
          <w:szCs w:val="24"/>
        </w:rPr>
        <w:t>Nok</w:t>
      </w:r>
      <w:proofErr w:type="spellEnd"/>
      <w:r>
        <w:rPr>
          <w:rFonts w:ascii="Calibri" w:hAnsi="Calibri" w:cs="Calibri"/>
          <w:color w:val="000000"/>
          <w:sz w:val="18"/>
          <w:szCs w:val="24"/>
        </w:rPr>
        <w:t>)</w:t>
      </w:r>
    </w:p>
    <w:p w14:paraId="1936383F" w14:textId="77777777" w:rsidR="002F65CD" w:rsidRDefault="002F65CD" w:rsidP="00CD4C7B"/>
    <w:p w14:paraId="50187F22" w14:textId="77777777" w:rsidR="00CD4C7B" w:rsidRPr="006E13D1" w:rsidRDefault="00CD4C7B" w:rsidP="00CD4C7B">
      <w:pPr>
        <w:pStyle w:val="Heading1"/>
      </w:pPr>
      <w:r w:rsidRPr="006E13D1">
        <w:t>2</w:t>
      </w:r>
      <w:r w:rsidRPr="006E13D1">
        <w:tab/>
      </w:r>
      <w:r w:rsidR="00972FD7">
        <w:t>Discussion</w:t>
      </w:r>
    </w:p>
    <w:p w14:paraId="56D228AC" w14:textId="77777777" w:rsidR="002F65CD" w:rsidRPr="002F65CD" w:rsidRDefault="002F65CD" w:rsidP="00CD4C7B">
      <w:pPr>
        <w:pStyle w:val="00BodyText"/>
        <w:spacing w:after="0"/>
        <w:rPr>
          <w:rFonts w:ascii="Times New Roman" w:hAnsi="Times New Roman"/>
          <w:b/>
          <w:sz w:val="20"/>
          <w:u w:val="single"/>
          <w:lang w:val="en-GB"/>
        </w:rPr>
      </w:pPr>
      <w:r w:rsidRPr="002F65CD">
        <w:rPr>
          <w:rFonts w:ascii="Times New Roman" w:hAnsi="Times New Roman"/>
          <w:b/>
          <w:sz w:val="20"/>
          <w:u w:val="single"/>
          <w:lang w:val="en-GB"/>
        </w:rPr>
        <w:t>Scenario under discussion:</w:t>
      </w:r>
    </w:p>
    <w:p w14:paraId="576F28D9" w14:textId="77777777" w:rsidR="002F65CD" w:rsidRDefault="002F65CD" w:rsidP="00CD4C7B">
      <w:pPr>
        <w:pStyle w:val="00BodyText"/>
        <w:spacing w:after="0"/>
        <w:rPr>
          <w:rFonts w:ascii="Times New Roman" w:hAnsi="Times New Roman"/>
          <w:sz w:val="20"/>
          <w:lang w:val="en-GB"/>
        </w:rPr>
      </w:pPr>
      <w:r>
        <w:rPr>
          <w:rFonts w:ascii="Times New Roman" w:hAnsi="Times New Roman"/>
          <w:sz w:val="20"/>
          <w:lang w:val="en-GB"/>
        </w:rPr>
        <w:t>B</w:t>
      </w:r>
      <w:r w:rsidRPr="002F65CD">
        <w:rPr>
          <w:rFonts w:ascii="Times New Roman" w:hAnsi="Times New Roman"/>
          <w:sz w:val="20"/>
          <w:lang w:val="en-GB"/>
        </w:rPr>
        <w:t xml:space="preserve">oth the gNB and the AMF support multiple PLMN-IDs. In this scenario the </w:t>
      </w:r>
      <w:r w:rsidR="00973CC3">
        <w:rPr>
          <w:rFonts w:ascii="Times New Roman" w:hAnsi="Times New Roman"/>
          <w:sz w:val="20"/>
          <w:lang w:val="en-GB"/>
        </w:rPr>
        <w:t xml:space="preserve">logical </w:t>
      </w:r>
      <w:r w:rsidRPr="002F65CD">
        <w:rPr>
          <w:rFonts w:ascii="Times New Roman" w:hAnsi="Times New Roman"/>
          <w:sz w:val="20"/>
          <w:lang w:val="en-GB"/>
        </w:rPr>
        <w:t>gNB sends NG SETUP REQUEST to the AMF and includes one of its supported PLMN-IDs in the Global gNB ID (Global RAN Node ID) as well as a list of other supported (broadcast) PLMN-IDs.</w:t>
      </w:r>
    </w:p>
    <w:p w14:paraId="5E7EE8EB" w14:textId="77777777" w:rsidR="002F65CD" w:rsidRDefault="002F65CD" w:rsidP="00CD4C7B">
      <w:pPr>
        <w:pStyle w:val="00BodyText"/>
        <w:spacing w:after="0"/>
        <w:rPr>
          <w:rFonts w:ascii="Times New Roman" w:hAnsi="Times New Roman"/>
          <w:sz w:val="20"/>
          <w:lang w:val="en-GB"/>
        </w:rPr>
      </w:pPr>
    </w:p>
    <w:p w14:paraId="45BA6247" w14:textId="77777777" w:rsidR="002F65CD" w:rsidRDefault="002F65CD" w:rsidP="002F65CD">
      <w:pPr>
        <w:rPr>
          <w:lang w:val="en-US" w:eastAsia="fr-FR"/>
        </w:rPr>
      </w:pPr>
      <w:r>
        <w:rPr>
          <w:lang w:val="en-US"/>
        </w:rPr>
        <w:t xml:space="preserve">For TNL discovery requests and incoming NG HO the AMF will receive TAI (for inter-AMF routing) and Target gNB-ID, which the source gNB constructed from SIB1 content reported by the UE (UE CGI reading). This Target gNB-ID includes a PLMN-ID + leftmost bits of the target cell ID. </w:t>
      </w:r>
    </w:p>
    <w:p w14:paraId="1A590EA5" w14:textId="77777777" w:rsidR="00CD4C7B" w:rsidRDefault="002F65CD" w:rsidP="00CD4C7B">
      <w:pPr>
        <w:pStyle w:val="00BodyText"/>
        <w:spacing w:after="0"/>
        <w:rPr>
          <w:rFonts w:ascii="Times New Roman" w:hAnsi="Times New Roman"/>
          <w:sz w:val="20"/>
          <w:lang w:val="en-GB"/>
        </w:rPr>
      </w:pPr>
      <w:r>
        <w:rPr>
          <w:rFonts w:ascii="Times New Roman" w:hAnsi="Times New Roman"/>
          <w:sz w:val="20"/>
          <w:lang w:val="en-GB"/>
        </w:rPr>
        <w:t>There was common understanding in the online discussion that current 5G standard doesn’t mandate which of the PLMN-IDs</w:t>
      </w:r>
      <w:r w:rsidR="002C23CB">
        <w:rPr>
          <w:rFonts w:ascii="Times New Roman" w:hAnsi="Times New Roman"/>
          <w:sz w:val="20"/>
          <w:lang w:val="en-GB"/>
        </w:rPr>
        <w:t xml:space="preserve"> broadcast in SIB1 shall be used by the source gNB to construct the Target gNB-ID.</w:t>
      </w:r>
    </w:p>
    <w:p w14:paraId="6593830A" w14:textId="77777777" w:rsidR="002C23CB" w:rsidRDefault="002C23CB" w:rsidP="00CD4C7B">
      <w:pPr>
        <w:pStyle w:val="00BodyText"/>
        <w:spacing w:after="0"/>
        <w:rPr>
          <w:rFonts w:ascii="Times New Roman" w:hAnsi="Times New Roman"/>
          <w:sz w:val="20"/>
          <w:lang w:val="en-GB"/>
        </w:rPr>
      </w:pPr>
    </w:p>
    <w:p w14:paraId="67171230" w14:textId="77777777" w:rsidR="002C23CB" w:rsidRPr="002C23CB" w:rsidRDefault="002C23CB" w:rsidP="00CD4C7B">
      <w:pPr>
        <w:pStyle w:val="00BodyText"/>
        <w:spacing w:after="0"/>
        <w:rPr>
          <w:rFonts w:ascii="Times New Roman" w:hAnsi="Times New Roman"/>
          <w:b/>
          <w:sz w:val="20"/>
          <w:u w:val="single"/>
          <w:lang w:val="en-GB"/>
        </w:rPr>
      </w:pPr>
      <w:r w:rsidRPr="002C23CB">
        <w:rPr>
          <w:rFonts w:ascii="Times New Roman" w:hAnsi="Times New Roman"/>
          <w:b/>
          <w:sz w:val="20"/>
          <w:u w:val="single"/>
          <w:lang w:val="en-GB"/>
        </w:rPr>
        <w:t>Company views:</w:t>
      </w:r>
    </w:p>
    <w:p w14:paraId="7B21A96E" w14:textId="77777777" w:rsidR="002C23CB" w:rsidRDefault="002C23CB" w:rsidP="00CD4C7B">
      <w:pPr>
        <w:pStyle w:val="00BodyText"/>
        <w:spacing w:after="0"/>
        <w:rPr>
          <w:rFonts w:ascii="Times New Roman" w:hAnsi="Times New Roman"/>
          <w:sz w:val="20"/>
          <w:lang w:val="en-GB"/>
        </w:rPr>
      </w:pPr>
      <w:r>
        <w:rPr>
          <w:rFonts w:ascii="Times New Roman" w:hAnsi="Times New Roman"/>
          <w:sz w:val="20"/>
          <w:lang w:val="en-GB"/>
        </w:rPr>
        <w:t>The following views were collected from different companies</w:t>
      </w:r>
      <w:r w:rsidR="00DD1CC2">
        <w:rPr>
          <w:rFonts w:ascii="Times New Roman" w:hAnsi="Times New Roman"/>
          <w:sz w:val="20"/>
          <w:lang w:val="en-GB"/>
        </w:rPr>
        <w:t xml:space="preserve"> in online and offline discussions</w:t>
      </w:r>
      <w:r>
        <w:rPr>
          <w:rFonts w:ascii="Times New Roman" w:hAnsi="Times New Roman"/>
          <w:sz w:val="20"/>
          <w:lang w:val="en-GB"/>
        </w:rPr>
        <w:t>:</w:t>
      </w:r>
    </w:p>
    <w:p w14:paraId="556DD3AD" w14:textId="77777777" w:rsidR="00925A57" w:rsidRDefault="00925A57" w:rsidP="00CD4C7B">
      <w:pPr>
        <w:pStyle w:val="00BodyText"/>
        <w:spacing w:after="0"/>
        <w:rPr>
          <w:rFonts w:ascii="Times New Roman" w:hAnsi="Times New Roman"/>
          <w:sz w:val="20"/>
          <w:lang w:val="en-GB"/>
        </w:rPr>
      </w:pPr>
    </w:p>
    <w:p w14:paraId="715E7148" w14:textId="77777777" w:rsidR="002C23CB" w:rsidRDefault="002C23CB" w:rsidP="00FE20D5">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View 1: The current situation represents no problem because the AMF may </w:t>
      </w:r>
      <w:r w:rsidR="00FE20D5">
        <w:rPr>
          <w:rFonts w:ascii="Times New Roman" w:hAnsi="Times New Roman"/>
          <w:sz w:val="20"/>
          <w:lang w:val="en-GB"/>
        </w:rPr>
        <w:t>replace</w:t>
      </w:r>
      <w:r w:rsidR="008B371E">
        <w:rPr>
          <w:rFonts w:ascii="Times New Roman" w:hAnsi="Times New Roman"/>
          <w:sz w:val="20"/>
          <w:lang w:val="en-GB"/>
        </w:rPr>
        <w:t xml:space="preserve"> PLMN-IDs</w:t>
      </w:r>
      <w:r w:rsidR="00FE20D5">
        <w:rPr>
          <w:rFonts w:ascii="Times New Roman" w:hAnsi="Times New Roman"/>
          <w:sz w:val="20"/>
          <w:lang w:val="en-GB"/>
        </w:rPr>
        <w:t xml:space="preserve"> received in the Target gNB ID. This means that </w:t>
      </w:r>
      <w:r w:rsidR="008B371E">
        <w:rPr>
          <w:rFonts w:ascii="Times New Roman" w:hAnsi="Times New Roman"/>
          <w:sz w:val="20"/>
          <w:lang w:val="en-GB"/>
        </w:rPr>
        <w:t xml:space="preserve">if the </w:t>
      </w:r>
      <w:r w:rsidR="002C7CA1">
        <w:rPr>
          <w:rFonts w:ascii="Times New Roman" w:hAnsi="Times New Roman"/>
          <w:sz w:val="20"/>
          <w:lang w:val="en-GB"/>
        </w:rPr>
        <w:t>received Target</w:t>
      </w:r>
      <w:r w:rsidR="00FE20D5">
        <w:rPr>
          <w:rFonts w:ascii="Times New Roman" w:hAnsi="Times New Roman"/>
          <w:sz w:val="20"/>
          <w:lang w:val="en-GB"/>
        </w:rPr>
        <w:t xml:space="preserve"> gNB ID doesn’t match the Global gNB ID of any of the connected </w:t>
      </w:r>
      <w:proofErr w:type="spellStart"/>
      <w:r w:rsidR="00FE20D5">
        <w:rPr>
          <w:rFonts w:ascii="Times New Roman" w:hAnsi="Times New Roman"/>
          <w:sz w:val="20"/>
          <w:lang w:val="en-GB"/>
        </w:rPr>
        <w:t>gNBs</w:t>
      </w:r>
      <w:proofErr w:type="spellEnd"/>
      <w:r w:rsidR="00FE20D5">
        <w:rPr>
          <w:rFonts w:ascii="Times New Roman" w:hAnsi="Times New Roman"/>
          <w:sz w:val="20"/>
          <w:lang w:val="en-GB"/>
        </w:rPr>
        <w:t xml:space="preserve">, the AMF replaces the PLMN-ID </w:t>
      </w:r>
      <w:r w:rsidR="00973CC3">
        <w:rPr>
          <w:rFonts w:ascii="Times New Roman" w:hAnsi="Times New Roman"/>
          <w:sz w:val="20"/>
          <w:lang w:val="en-GB"/>
        </w:rPr>
        <w:t xml:space="preserve">contained in the received Target gNB-ID </w:t>
      </w:r>
      <w:r w:rsidR="00FE20D5">
        <w:rPr>
          <w:rFonts w:ascii="Times New Roman" w:hAnsi="Times New Roman"/>
          <w:sz w:val="20"/>
          <w:lang w:val="en-GB"/>
        </w:rPr>
        <w:t xml:space="preserve">with another PLMN-ID supported by the AMF and checks if this newly constructed Target gNB ID matches any of the </w:t>
      </w:r>
      <w:proofErr w:type="spellStart"/>
      <w:r w:rsidR="00FE20D5">
        <w:rPr>
          <w:rFonts w:ascii="Times New Roman" w:hAnsi="Times New Roman"/>
          <w:sz w:val="20"/>
          <w:lang w:val="en-GB"/>
        </w:rPr>
        <w:t>gNBs</w:t>
      </w:r>
      <w:proofErr w:type="spellEnd"/>
      <w:r w:rsidR="00FE20D5">
        <w:rPr>
          <w:rFonts w:ascii="Times New Roman" w:hAnsi="Times New Roman"/>
          <w:sz w:val="20"/>
          <w:lang w:val="en-GB"/>
        </w:rPr>
        <w:t xml:space="preserve"> connected to the gNB.</w:t>
      </w:r>
    </w:p>
    <w:p w14:paraId="4F2CC467" w14:textId="77777777" w:rsidR="00FE20D5" w:rsidRDefault="00FE20D5" w:rsidP="00CD4C7B">
      <w:pPr>
        <w:pStyle w:val="00BodyText"/>
        <w:spacing w:after="0"/>
        <w:rPr>
          <w:rFonts w:ascii="Times New Roman" w:hAnsi="Times New Roman"/>
          <w:sz w:val="20"/>
          <w:lang w:val="en-GB"/>
        </w:rPr>
      </w:pPr>
    </w:p>
    <w:p w14:paraId="037776F8" w14:textId="77777777" w:rsidR="00FE20D5" w:rsidRDefault="00FE20D5" w:rsidP="00FE20D5">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View 2: The current situation represents no problem because the source gNB, after having received SIB1 content of the target cell by UE CGI reading, and prior to constructing the Target gNB ID, consults with OAM configured information </w:t>
      </w:r>
      <w:proofErr w:type="gramStart"/>
      <w:r>
        <w:rPr>
          <w:rFonts w:ascii="Times New Roman" w:hAnsi="Times New Roman"/>
          <w:sz w:val="20"/>
          <w:lang w:val="en-GB"/>
        </w:rPr>
        <w:t>and in this way</w:t>
      </w:r>
      <w:proofErr w:type="gramEnd"/>
      <w:r>
        <w:rPr>
          <w:rFonts w:ascii="Times New Roman" w:hAnsi="Times New Roman"/>
          <w:sz w:val="20"/>
          <w:lang w:val="en-GB"/>
        </w:rPr>
        <w:t xml:space="preserve"> retrieves the PLMN-ID to be used</w:t>
      </w:r>
      <w:r w:rsidR="00973CC3">
        <w:rPr>
          <w:rFonts w:ascii="Times New Roman" w:hAnsi="Times New Roman"/>
          <w:sz w:val="20"/>
          <w:lang w:val="en-GB"/>
        </w:rPr>
        <w:t xml:space="preserve"> when constructing the Target gNB ID</w:t>
      </w:r>
      <w:r>
        <w:rPr>
          <w:rFonts w:ascii="Times New Roman" w:hAnsi="Times New Roman"/>
          <w:sz w:val="20"/>
          <w:lang w:val="en-GB"/>
        </w:rPr>
        <w:t>.</w:t>
      </w:r>
    </w:p>
    <w:p w14:paraId="191BA984" w14:textId="77777777" w:rsidR="000E5B77" w:rsidRDefault="000E5B77" w:rsidP="000E5B77">
      <w:pPr>
        <w:pStyle w:val="00BodyText"/>
        <w:spacing w:after="0"/>
        <w:rPr>
          <w:rFonts w:ascii="Times New Roman" w:hAnsi="Times New Roman"/>
          <w:sz w:val="20"/>
          <w:lang w:val="en-GB"/>
        </w:rPr>
      </w:pPr>
    </w:p>
    <w:p w14:paraId="5542E0E1" w14:textId="77777777" w:rsidR="000E5B77" w:rsidRDefault="000E5B77" w:rsidP="000E5B77">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View 3: The current situation represents no problem because </w:t>
      </w:r>
      <w:r w:rsidR="00056B2E">
        <w:rPr>
          <w:rFonts w:ascii="Times New Roman" w:hAnsi="Times New Roman"/>
          <w:sz w:val="20"/>
          <w:lang w:val="en-GB"/>
        </w:rPr>
        <w:t xml:space="preserve">the “problem” does not apply for mobility. </w:t>
      </w:r>
      <w:proofErr w:type="gramStart"/>
      <w:r w:rsidR="00056B2E">
        <w:rPr>
          <w:rFonts w:ascii="Times New Roman" w:hAnsi="Times New Roman"/>
          <w:sz w:val="20"/>
          <w:lang w:val="en-GB"/>
        </w:rPr>
        <w:t>Indeed</w:t>
      </w:r>
      <w:proofErr w:type="gramEnd"/>
      <w:r w:rsidR="00056B2E">
        <w:rPr>
          <w:rFonts w:ascii="Times New Roman" w:hAnsi="Times New Roman"/>
          <w:sz w:val="20"/>
          <w:lang w:val="en-GB"/>
        </w:rPr>
        <w:t xml:space="preserve"> in case the mobility (HO) is based on neighbouring relation where the Target ID of the neighbour is already identified via ANR, or OAM configuration or both. The Target node ID is course unique in RAN, this need to be guaranteed whatever the PLMN selected to build the ID. Then for ANR, TNL discovery   </w:t>
      </w:r>
      <w:r>
        <w:rPr>
          <w:rFonts w:ascii="Times New Roman" w:hAnsi="Times New Roman"/>
          <w:sz w:val="20"/>
          <w:lang w:val="en-GB"/>
        </w:rPr>
        <w:t xml:space="preserve">the source gNB can construct the Target gNB ID for TNL discovery using any of the PLMN-IDs received in </w:t>
      </w:r>
      <w:r w:rsidR="00DD1CC2">
        <w:rPr>
          <w:rFonts w:ascii="Times New Roman" w:hAnsi="Times New Roman"/>
          <w:sz w:val="20"/>
          <w:lang w:val="en-GB"/>
        </w:rPr>
        <w:t>the SIB1. TNL discovery using Target gNB ID with different PLMN-IDs from SIB1 may be sent in parallel, or the source gNB can initiate one procedure at a time and retry with another PLMN-ID from SIB1 if the TNL discovery procedure fails (times out).</w:t>
      </w:r>
    </w:p>
    <w:p w14:paraId="01B9ECDC" w14:textId="77777777" w:rsidR="00FE20D5" w:rsidRDefault="00FE20D5" w:rsidP="00FE20D5">
      <w:pPr>
        <w:pStyle w:val="00BodyText"/>
        <w:spacing w:after="0"/>
        <w:rPr>
          <w:rFonts w:ascii="Times New Roman" w:hAnsi="Times New Roman"/>
          <w:sz w:val="20"/>
          <w:lang w:val="en-GB"/>
        </w:rPr>
      </w:pPr>
    </w:p>
    <w:p w14:paraId="54C07496" w14:textId="77777777" w:rsidR="002C23CB" w:rsidRDefault="00FE20D5" w:rsidP="00CD4C7B">
      <w:pPr>
        <w:pStyle w:val="00BodyText"/>
        <w:numPr>
          <w:ilvl w:val="0"/>
          <w:numId w:val="5"/>
        </w:numPr>
        <w:spacing w:after="0"/>
        <w:rPr>
          <w:rFonts w:ascii="Times New Roman" w:hAnsi="Times New Roman"/>
          <w:sz w:val="20"/>
          <w:lang w:val="en-GB"/>
        </w:rPr>
      </w:pPr>
      <w:r>
        <w:rPr>
          <w:rFonts w:ascii="Times New Roman" w:hAnsi="Times New Roman"/>
          <w:sz w:val="20"/>
          <w:lang w:val="en-GB"/>
        </w:rPr>
        <w:lastRenderedPageBreak/>
        <w:t xml:space="preserve">View </w:t>
      </w:r>
      <w:r w:rsidR="00D04F10">
        <w:rPr>
          <w:rFonts w:ascii="Times New Roman" w:hAnsi="Times New Roman"/>
          <w:sz w:val="20"/>
          <w:lang w:val="en-GB"/>
        </w:rPr>
        <w:t>4</w:t>
      </w:r>
      <w:r>
        <w:rPr>
          <w:rFonts w:ascii="Times New Roman" w:hAnsi="Times New Roman"/>
          <w:sz w:val="20"/>
          <w:lang w:val="en-GB"/>
        </w:rPr>
        <w:t xml:space="preserve">: The current situation represents a problem because the standard doesn’t describe required </w:t>
      </w:r>
      <w:r w:rsidR="00DD1CC2">
        <w:rPr>
          <w:rFonts w:ascii="Times New Roman" w:hAnsi="Times New Roman"/>
          <w:sz w:val="20"/>
          <w:lang w:val="en-GB"/>
        </w:rPr>
        <w:t xml:space="preserve">network </w:t>
      </w:r>
      <w:r>
        <w:rPr>
          <w:rFonts w:ascii="Times New Roman" w:hAnsi="Times New Roman"/>
          <w:sz w:val="20"/>
          <w:lang w:val="en-GB"/>
        </w:rPr>
        <w:t xml:space="preserve">support </w:t>
      </w:r>
      <w:r w:rsidR="00DD1CC2">
        <w:rPr>
          <w:rFonts w:ascii="Times New Roman" w:hAnsi="Times New Roman"/>
          <w:sz w:val="20"/>
          <w:lang w:val="en-GB"/>
        </w:rPr>
        <w:t xml:space="preserve">needed for successful routing of TNL discovery requests or NG </w:t>
      </w:r>
      <w:proofErr w:type="spellStart"/>
      <w:r w:rsidR="00DD1CC2">
        <w:rPr>
          <w:rFonts w:ascii="Times New Roman" w:hAnsi="Times New Roman"/>
          <w:sz w:val="20"/>
          <w:lang w:val="en-GB"/>
        </w:rPr>
        <w:t>HOs.</w:t>
      </w:r>
      <w:proofErr w:type="spellEnd"/>
      <w:r w:rsidR="00DD1CC2">
        <w:rPr>
          <w:rFonts w:ascii="Times New Roman" w:hAnsi="Times New Roman"/>
          <w:sz w:val="20"/>
          <w:lang w:val="en-GB"/>
        </w:rPr>
        <w:t xml:space="preserve"> </w:t>
      </w:r>
      <w:r>
        <w:rPr>
          <w:rFonts w:ascii="Times New Roman" w:hAnsi="Times New Roman"/>
          <w:sz w:val="20"/>
          <w:lang w:val="en-GB"/>
        </w:rPr>
        <w:t>E.g. some AMF implementations may support PLMN-ID replacement as described under view 1, while other AMF implementations may not support such PLMN-ID replacement.</w:t>
      </w:r>
    </w:p>
    <w:p w14:paraId="76456EF7" w14:textId="77777777" w:rsidR="008D5BF5" w:rsidRDefault="008D5BF5" w:rsidP="000E608E">
      <w:pPr>
        <w:pStyle w:val="ListParagraph"/>
      </w:pPr>
    </w:p>
    <w:p w14:paraId="60BEEDB8" w14:textId="77777777" w:rsidR="008D5BF5" w:rsidRDefault="008D5BF5" w:rsidP="00001990">
      <w:pPr>
        <w:pStyle w:val="00BodyText"/>
        <w:numPr>
          <w:ilvl w:val="0"/>
          <w:numId w:val="5"/>
        </w:numPr>
        <w:spacing w:after="0"/>
        <w:rPr>
          <w:rFonts w:ascii="Times New Roman" w:hAnsi="Times New Roman"/>
          <w:sz w:val="20"/>
          <w:lang w:val="en-GB"/>
        </w:rPr>
      </w:pPr>
      <w:r>
        <w:rPr>
          <w:rFonts w:ascii="Times New Roman" w:hAnsi="Times New Roman"/>
          <w:sz w:val="20"/>
          <w:lang w:val="en-GB"/>
        </w:rPr>
        <w:t xml:space="preserve">View 5: The current version of specifications provides </w:t>
      </w:r>
      <w:proofErr w:type="gramStart"/>
      <w:r>
        <w:rPr>
          <w:rFonts w:ascii="Times New Roman" w:hAnsi="Times New Roman"/>
          <w:sz w:val="20"/>
          <w:lang w:val="en-GB"/>
        </w:rPr>
        <w:t>sufficient</w:t>
      </w:r>
      <w:proofErr w:type="gramEnd"/>
      <w:r>
        <w:rPr>
          <w:rFonts w:ascii="Times New Roman" w:hAnsi="Times New Roman"/>
          <w:sz w:val="20"/>
          <w:lang w:val="en-GB"/>
        </w:rPr>
        <w:t xml:space="preserve"> information how to implement a working EPS/5GS in inter-vendor deployments:</w:t>
      </w:r>
    </w:p>
    <w:p w14:paraId="17B28C94" w14:textId="77777777" w:rsidR="00001990" w:rsidRPr="000E608E" w:rsidRDefault="00001990" w:rsidP="000E608E">
      <w:pPr>
        <w:pStyle w:val="00BodyText"/>
        <w:spacing w:after="0"/>
        <w:ind w:left="360"/>
        <w:rPr>
          <w:rFonts w:ascii="Times New Roman" w:hAnsi="Times New Roman"/>
          <w:sz w:val="20"/>
          <w:lang w:val="en-GB"/>
        </w:rPr>
      </w:pPr>
    </w:p>
    <w:p w14:paraId="37C7D059" w14:textId="77777777" w:rsidR="008D5BF5" w:rsidRDefault="008D5BF5" w:rsidP="000E608E">
      <w:pPr>
        <w:ind w:left="720"/>
        <w:rPr>
          <w:rFonts w:eastAsia="Malgun Gothic"/>
          <w:lang w:eastAsia="ko-KR"/>
        </w:rPr>
      </w:pPr>
      <w:r>
        <w:rPr>
          <w:rFonts w:eastAsia="Malgun Gothic"/>
          <w:lang w:eastAsia="ko-KR"/>
        </w:rPr>
        <w:t>Sections 8.2 in TS 38.300 and 8.2. in TS 36.300 specify the association between identifiers and the PLMN “owning” it. E.g.:</w:t>
      </w:r>
    </w:p>
    <w:p w14:paraId="0790C439" w14:textId="77777777" w:rsidR="008D5BF5" w:rsidRPr="000E608E" w:rsidRDefault="008D5BF5" w:rsidP="000E608E">
      <w:pPr>
        <w:pStyle w:val="B1"/>
        <w:ind w:left="1288"/>
        <w:rPr>
          <w:b/>
          <w:i/>
          <w:color w:val="0070C0"/>
        </w:rPr>
      </w:pPr>
      <w:r w:rsidRPr="000E608E">
        <w:rPr>
          <w:b/>
          <w:i/>
          <w:color w:val="0070C0"/>
        </w:rPr>
        <w:t>38.300:</w:t>
      </w:r>
    </w:p>
    <w:p w14:paraId="57C462AC" w14:textId="77777777" w:rsidR="008D5BF5" w:rsidRPr="000E608E" w:rsidRDefault="008D5BF5" w:rsidP="000E608E">
      <w:pPr>
        <w:pStyle w:val="B1"/>
        <w:ind w:left="1288"/>
        <w:rPr>
          <w:i/>
          <w:color w:val="0070C0"/>
        </w:rPr>
      </w:pPr>
      <w:r w:rsidRPr="000E608E">
        <w:rPr>
          <w:i/>
          <w:color w:val="0070C0"/>
        </w:rPr>
        <w:t>-</w:t>
      </w:r>
      <w:r w:rsidRPr="000E608E">
        <w:rPr>
          <w:i/>
          <w:color w:val="0070C0"/>
        </w:rPr>
        <w:tab/>
        <w:t xml:space="preserve">NR Cell Global Identifier (NCGI): used to identify NR cells globally. The </w:t>
      </w:r>
      <w:r w:rsidRPr="000E608E">
        <w:rPr>
          <w:i/>
          <w:color w:val="0070C0"/>
          <w:highlight w:val="yellow"/>
        </w:rPr>
        <w:t>NCGI is constructed from the PLMN identity the cell belongs</w:t>
      </w:r>
      <w:r w:rsidRPr="000E608E">
        <w:rPr>
          <w:i/>
          <w:color w:val="0070C0"/>
        </w:rPr>
        <w:t xml:space="preserve"> to and the NR Cell Identity (NCI) of the cell.</w:t>
      </w:r>
    </w:p>
    <w:p w14:paraId="240A4185" w14:textId="77777777" w:rsidR="008D5BF5" w:rsidRPr="000E608E" w:rsidRDefault="008D5BF5" w:rsidP="000E608E">
      <w:pPr>
        <w:pStyle w:val="B1"/>
        <w:ind w:left="1288"/>
        <w:rPr>
          <w:i/>
          <w:color w:val="0070C0"/>
        </w:rPr>
      </w:pPr>
      <w:r w:rsidRPr="000E608E">
        <w:rPr>
          <w:i/>
          <w:color w:val="0070C0"/>
        </w:rPr>
        <w:t>...</w:t>
      </w:r>
    </w:p>
    <w:p w14:paraId="38804769" w14:textId="77777777" w:rsidR="008D5BF5" w:rsidRPr="000E608E" w:rsidRDefault="008D5BF5" w:rsidP="000E608E">
      <w:pPr>
        <w:pStyle w:val="B1"/>
        <w:ind w:left="1288"/>
        <w:rPr>
          <w:i/>
          <w:color w:val="0070C0"/>
        </w:rPr>
      </w:pPr>
      <w:r w:rsidRPr="000E608E">
        <w:rPr>
          <w:i/>
          <w:color w:val="0070C0"/>
        </w:rPr>
        <w:t>-</w:t>
      </w:r>
      <w:r w:rsidRPr="000E608E">
        <w:rPr>
          <w:i/>
          <w:color w:val="0070C0"/>
        </w:rPr>
        <w:tab/>
        <w:t xml:space="preserve">Global gNB ID: used to identify </w:t>
      </w:r>
      <w:proofErr w:type="spellStart"/>
      <w:r w:rsidRPr="000E608E">
        <w:rPr>
          <w:i/>
          <w:color w:val="0070C0"/>
        </w:rPr>
        <w:t>gNBs</w:t>
      </w:r>
      <w:proofErr w:type="spellEnd"/>
      <w:r w:rsidRPr="000E608E">
        <w:rPr>
          <w:i/>
          <w:color w:val="0070C0"/>
        </w:rPr>
        <w:t xml:space="preserve"> globally. The </w:t>
      </w:r>
      <w:r w:rsidRPr="000E608E">
        <w:rPr>
          <w:i/>
          <w:color w:val="0070C0"/>
          <w:highlight w:val="yellow"/>
        </w:rPr>
        <w:t>Global gNB ID is constructed from the PLMN identity the gNB belongs</w:t>
      </w:r>
      <w:r w:rsidRPr="000E608E">
        <w:rPr>
          <w:i/>
          <w:color w:val="0070C0"/>
        </w:rPr>
        <w:t xml:space="preserve"> to and the gNB ID. The MCC and MNC are the same as included in the NCGI.</w:t>
      </w:r>
    </w:p>
    <w:p w14:paraId="2C40548C" w14:textId="77777777" w:rsidR="008D5BF5" w:rsidRPr="000E608E" w:rsidRDefault="008D5BF5" w:rsidP="000E608E">
      <w:pPr>
        <w:pStyle w:val="B1"/>
        <w:ind w:left="1288"/>
        <w:rPr>
          <w:i/>
          <w:color w:val="0070C0"/>
        </w:rPr>
      </w:pPr>
      <w:r w:rsidRPr="000E608E">
        <w:rPr>
          <w:i/>
          <w:color w:val="0070C0"/>
        </w:rPr>
        <w:t>-</w:t>
      </w:r>
      <w:r w:rsidRPr="000E608E">
        <w:rPr>
          <w:i/>
          <w:color w:val="0070C0"/>
        </w:rPr>
        <w:tab/>
        <w:t xml:space="preserve">Tracking Area identity (TAI): used to identify tracking areas. The </w:t>
      </w:r>
      <w:r w:rsidRPr="000E608E">
        <w:rPr>
          <w:i/>
          <w:color w:val="0070C0"/>
          <w:highlight w:val="yellow"/>
        </w:rPr>
        <w:t>TAI is constructed from the PLMN identity the tracking area belongs</w:t>
      </w:r>
      <w:r w:rsidRPr="000E608E">
        <w:rPr>
          <w:i/>
          <w:color w:val="0070C0"/>
        </w:rPr>
        <w:t xml:space="preserve"> to and the TAC (Tracking Area Code) of the Tracking Area.</w:t>
      </w:r>
    </w:p>
    <w:p w14:paraId="3AF84AB0" w14:textId="77777777" w:rsidR="008D5BF5" w:rsidRPr="000E608E" w:rsidRDefault="008D5BF5" w:rsidP="000E608E">
      <w:pPr>
        <w:pStyle w:val="B1"/>
        <w:ind w:left="1288"/>
        <w:rPr>
          <w:b/>
          <w:i/>
          <w:color w:val="0070C0"/>
        </w:rPr>
      </w:pPr>
      <w:r w:rsidRPr="000E608E">
        <w:rPr>
          <w:b/>
          <w:i/>
          <w:color w:val="0070C0"/>
        </w:rPr>
        <w:t>36.300:</w:t>
      </w:r>
    </w:p>
    <w:p w14:paraId="625614E2" w14:textId="77777777" w:rsidR="008D5BF5" w:rsidRPr="000E608E" w:rsidRDefault="008D5BF5" w:rsidP="000E608E">
      <w:pPr>
        <w:pStyle w:val="B1"/>
        <w:ind w:left="1288"/>
        <w:rPr>
          <w:i/>
          <w:color w:val="0070C0"/>
        </w:rPr>
      </w:pPr>
      <w:r w:rsidRPr="000E608E">
        <w:rPr>
          <w:i/>
          <w:color w:val="0070C0"/>
        </w:rPr>
        <w:t>-</w:t>
      </w:r>
      <w:r w:rsidRPr="000E608E">
        <w:rPr>
          <w:i/>
          <w:color w:val="0070C0"/>
        </w:rPr>
        <w:tab/>
        <w:t xml:space="preserve">E-UTRAN Cell Global Identifier (ECGI): used to identify cells globally. The </w:t>
      </w:r>
      <w:r w:rsidRPr="000E608E">
        <w:rPr>
          <w:i/>
          <w:color w:val="0070C0"/>
          <w:highlight w:val="yellow"/>
        </w:rPr>
        <w:t>ECGI is constructed from the PLMN identity the cell belongs</w:t>
      </w:r>
      <w:r w:rsidRPr="000E608E">
        <w:rPr>
          <w:i/>
          <w:color w:val="0070C0"/>
        </w:rPr>
        <w:t xml:space="preserve"> to and the E-UTRA Cell Identifier of the cell. The included PLMN is the one given by the first PLMN entry in SIB1, according to TS 36.331 [16].</w:t>
      </w:r>
    </w:p>
    <w:p w14:paraId="1B6BFEDE" w14:textId="77777777" w:rsidR="008D5BF5" w:rsidRPr="000E608E" w:rsidRDefault="008D5BF5" w:rsidP="000E608E">
      <w:pPr>
        <w:pStyle w:val="B1"/>
        <w:ind w:left="1288"/>
        <w:rPr>
          <w:i/>
          <w:color w:val="0070C0"/>
        </w:rPr>
      </w:pPr>
      <w:r w:rsidRPr="000E608E">
        <w:rPr>
          <w:i/>
          <w:color w:val="0070C0"/>
        </w:rPr>
        <w:t>...</w:t>
      </w:r>
    </w:p>
    <w:p w14:paraId="191D392E" w14:textId="77777777" w:rsidR="008D5BF5" w:rsidRPr="000E608E" w:rsidRDefault="008D5BF5" w:rsidP="000E608E">
      <w:pPr>
        <w:pStyle w:val="B1"/>
        <w:ind w:left="1288"/>
        <w:rPr>
          <w:i/>
          <w:color w:val="0070C0"/>
          <w:lang w:eastAsia="zh-CN"/>
        </w:rPr>
      </w:pPr>
      <w:r w:rsidRPr="000E608E">
        <w:rPr>
          <w:i/>
          <w:color w:val="0070C0"/>
        </w:rPr>
        <w:t>-</w:t>
      </w:r>
      <w:r w:rsidRPr="000E608E">
        <w:rPr>
          <w:i/>
          <w:color w:val="0070C0"/>
        </w:rPr>
        <w:tab/>
        <w:t xml:space="preserve">Global eNB ID: used to identify eNBs globally. The </w:t>
      </w:r>
      <w:r w:rsidRPr="000E608E">
        <w:rPr>
          <w:i/>
          <w:color w:val="0070C0"/>
          <w:highlight w:val="yellow"/>
        </w:rPr>
        <w:t>Global eNB ID is constructed from the PLMN identity the eNB belongs</w:t>
      </w:r>
      <w:r w:rsidRPr="000E608E">
        <w:rPr>
          <w:i/>
          <w:color w:val="0070C0"/>
        </w:rPr>
        <w:t xml:space="preserve"> to and the eNB ID. The MCC and MNC are the same as included in the E-UTRAN Cell Global Identifier (ECGI).</w:t>
      </w:r>
    </w:p>
    <w:p w14:paraId="11276BD6" w14:textId="0FA6AA89" w:rsidR="008D5BF5" w:rsidRDefault="008D5BF5" w:rsidP="008D5BF5">
      <w:pPr>
        <w:ind w:left="720"/>
        <w:rPr>
          <w:rFonts w:eastAsia="Malgun Gothic"/>
          <w:lang w:eastAsia="ko-KR"/>
        </w:rPr>
      </w:pPr>
      <w:r>
        <w:rPr>
          <w:rFonts w:eastAsia="Malgun Gothic"/>
          <w:lang w:eastAsia="ko-KR"/>
        </w:rPr>
        <w:t>Following the definitions above, in case a logical cell or a RAN node “belongs” to multiple PLMNs, there is no unique cell/node identifier, as such cell/node have more than one “owner”. On NG/S1 more than one PLMN ID may be associated with one NG-C/S1-MME interface instance, the same applies for X2-C/</w:t>
      </w:r>
      <w:proofErr w:type="spellStart"/>
      <w:r>
        <w:rPr>
          <w:rFonts w:eastAsia="Malgun Gothic"/>
          <w:lang w:eastAsia="ko-KR"/>
        </w:rPr>
        <w:t>Xn</w:t>
      </w:r>
      <w:proofErr w:type="spellEnd"/>
      <w:r>
        <w:rPr>
          <w:rFonts w:eastAsia="Malgun Gothic"/>
          <w:lang w:eastAsia="ko-KR"/>
        </w:rPr>
        <w:t>-C interface instances. Following the statement for NG/S, a</w:t>
      </w:r>
      <w:r w:rsidR="004A7434">
        <w:rPr>
          <w:rFonts w:eastAsia="Malgun Gothic"/>
          <w:lang w:eastAsia="ko-KR"/>
        </w:rPr>
        <w:t>n</w:t>
      </w:r>
      <w:r>
        <w:rPr>
          <w:rFonts w:eastAsia="Malgun Gothic"/>
          <w:lang w:eastAsia="ko-KR"/>
        </w:rPr>
        <w:t xml:space="preserve"> EPS/5GS may configure more than one PLMN ID being associated with an MME/AMF.</w:t>
      </w:r>
    </w:p>
    <w:p w14:paraId="3060A737" w14:textId="77777777" w:rsidR="008D5BF5" w:rsidRDefault="00001990" w:rsidP="000E608E">
      <w:pPr>
        <w:ind w:left="720"/>
        <w:rPr>
          <w:rFonts w:eastAsia="Malgun Gothic"/>
          <w:lang w:eastAsia="ko-KR"/>
        </w:rPr>
      </w:pPr>
      <w:r>
        <w:rPr>
          <w:rFonts w:eastAsia="Malgun Gothic"/>
          <w:lang w:eastAsia="ko-KR"/>
        </w:rPr>
        <w:t>Therefo</w:t>
      </w:r>
      <w:bookmarkStart w:id="2" w:name="_GoBack"/>
      <w:bookmarkEnd w:id="2"/>
      <w:r>
        <w:rPr>
          <w:rFonts w:eastAsia="Malgun Gothic"/>
          <w:lang w:eastAsia="ko-KR"/>
        </w:rPr>
        <w:t>re,</w:t>
      </w:r>
      <w:r w:rsidR="008D5BF5">
        <w:rPr>
          <w:rFonts w:eastAsia="Malgun Gothic"/>
          <w:lang w:eastAsia="ko-KR"/>
        </w:rPr>
        <w:t xml:space="preserve"> it can be concluded. that implementations not able to cope with this situation are not compliant to current specifications.</w:t>
      </w:r>
    </w:p>
    <w:p w14:paraId="06FBC4D9" w14:textId="77777777" w:rsidR="008D5BF5" w:rsidRPr="00A07373" w:rsidRDefault="008D5BF5" w:rsidP="008D5BF5">
      <w:pPr>
        <w:pStyle w:val="00BodyText"/>
        <w:spacing w:after="0"/>
        <w:rPr>
          <w:rFonts w:ascii="Times New Roman" w:hAnsi="Times New Roman"/>
          <w:sz w:val="20"/>
          <w:lang w:val="en-GB"/>
        </w:rPr>
      </w:pPr>
    </w:p>
    <w:p w14:paraId="03BB6079" w14:textId="732A8735" w:rsidR="00CD4C7B" w:rsidRPr="006E13D1" w:rsidRDefault="00972FD7" w:rsidP="00CD4C7B">
      <w:pPr>
        <w:pStyle w:val="Heading1"/>
      </w:pPr>
      <w:r>
        <w:t>3</w:t>
      </w:r>
      <w:r w:rsidR="00CD4C7B" w:rsidRPr="006E13D1">
        <w:tab/>
      </w:r>
      <w:r w:rsidR="000E608E">
        <w:t>Summary and c</w:t>
      </w:r>
      <w:r>
        <w:t>onclusion</w:t>
      </w:r>
    </w:p>
    <w:p w14:paraId="3838C060" w14:textId="4EB9DE5F" w:rsidR="000E608E" w:rsidRDefault="000E608E" w:rsidP="00CD4C7B">
      <w:r>
        <w:t>The following summaries were proposed:</w:t>
      </w:r>
    </w:p>
    <w:p w14:paraId="4670B8CE" w14:textId="5504E7AD" w:rsidR="00CD4C7B" w:rsidRPr="006E13D1" w:rsidRDefault="00344D5C" w:rsidP="000E608E">
      <w:pPr>
        <w:pStyle w:val="ListParagraph"/>
        <w:numPr>
          <w:ilvl w:val="0"/>
          <w:numId w:val="7"/>
        </w:numPr>
      </w:pPr>
      <w:r>
        <w:t xml:space="preserve">Companies have different views </w:t>
      </w:r>
      <w:r w:rsidR="001B7B6E">
        <w:t xml:space="preserve">on what is required from OAM and </w:t>
      </w:r>
      <w:r w:rsidR="00BC17EF">
        <w:t>which algorithm</w:t>
      </w:r>
      <w:r w:rsidR="00DD1CC2">
        <w:t>s</w:t>
      </w:r>
      <w:r w:rsidR="00BC17EF">
        <w:t xml:space="preserve"> the </w:t>
      </w:r>
      <w:r w:rsidR="001B7B6E">
        <w:t>AMF</w:t>
      </w:r>
      <w:r w:rsidR="00DD1CC2">
        <w:t xml:space="preserve"> and source gNB</w:t>
      </w:r>
      <w:r w:rsidR="001B7B6E">
        <w:t xml:space="preserve"> </w:t>
      </w:r>
      <w:r w:rsidR="00DD1CC2">
        <w:t>are</w:t>
      </w:r>
      <w:r w:rsidR="00BC17EF">
        <w:t xml:space="preserve"> assumed to implement. A consequence is that TNL discovery and/or NG HO will not work in multi-vendor environment.</w:t>
      </w:r>
      <w:r w:rsidR="001B7B6E">
        <w:t xml:space="preserve"> </w:t>
      </w:r>
      <w:r>
        <w:t xml:space="preserve"> </w:t>
      </w:r>
    </w:p>
    <w:p w14:paraId="4577911B" w14:textId="25244DB2" w:rsidR="00981F1F" w:rsidRPr="006E13D1" w:rsidRDefault="00981F1F" w:rsidP="000E608E">
      <w:pPr>
        <w:pStyle w:val="ListParagraph"/>
        <w:numPr>
          <w:ilvl w:val="0"/>
          <w:numId w:val="7"/>
        </w:numPr>
      </w:pPr>
      <w:r>
        <w:t xml:space="preserve">Although different views have been provided by various companies, it cannot be concluded that a change to the </w:t>
      </w:r>
      <w:r w:rsidR="004A7434">
        <w:t xml:space="preserve">normative part of </w:t>
      </w:r>
      <w:r>
        <w:t>current specification</w:t>
      </w:r>
      <w:r w:rsidR="004A7434">
        <w:t>s</w:t>
      </w:r>
      <w:r>
        <w:t xml:space="preserve"> is needed.</w:t>
      </w:r>
      <w:r w:rsidR="000E608E">
        <w:t xml:space="preserve"> </w:t>
      </w:r>
      <w:r>
        <w:t>It is not precluded to further work on this topic by providing further clarification within an informative annex of TSs 38.300/36.300.</w:t>
      </w:r>
    </w:p>
    <w:p w14:paraId="1706980C" w14:textId="621FF87C" w:rsidR="00CD4C7B" w:rsidRPr="002B256F" w:rsidRDefault="000E608E" w:rsidP="00CD4C7B">
      <w:pPr>
        <w:rPr>
          <w:b/>
        </w:rPr>
      </w:pPr>
      <w:r w:rsidRPr="002B256F">
        <w:rPr>
          <w:b/>
        </w:rPr>
        <w:t>Conclusion: to be continued</w:t>
      </w:r>
    </w:p>
    <w:p w14:paraId="7303B2A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298D9" w14:textId="77777777" w:rsidR="009D23F3" w:rsidRDefault="009D23F3">
      <w:r>
        <w:separator/>
      </w:r>
    </w:p>
  </w:endnote>
  <w:endnote w:type="continuationSeparator" w:id="0">
    <w:p w14:paraId="05508305" w14:textId="77777777" w:rsidR="009D23F3" w:rsidRDefault="009D2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C5DEB" w14:textId="77777777" w:rsidR="009D23F3" w:rsidRDefault="009D23F3">
      <w:r>
        <w:separator/>
      </w:r>
    </w:p>
  </w:footnote>
  <w:footnote w:type="continuationSeparator" w:id="0">
    <w:p w14:paraId="5E58162C" w14:textId="77777777" w:rsidR="009D23F3" w:rsidRDefault="009D2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5C027B"/>
    <w:multiLevelType w:val="hybridMultilevel"/>
    <w:tmpl w:val="0D189E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B0F2052"/>
    <w:multiLevelType w:val="hybridMultilevel"/>
    <w:tmpl w:val="3AA403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7CC43C9F"/>
    <w:multiLevelType w:val="hybridMultilevel"/>
    <w:tmpl w:val="BCB64D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990"/>
    <w:rsid w:val="00033397"/>
    <w:rsid w:val="000342C7"/>
    <w:rsid w:val="00040095"/>
    <w:rsid w:val="0005563E"/>
    <w:rsid w:val="00056B2E"/>
    <w:rsid w:val="00080512"/>
    <w:rsid w:val="00083F0D"/>
    <w:rsid w:val="000B7BCF"/>
    <w:rsid w:val="000C556D"/>
    <w:rsid w:val="000D376D"/>
    <w:rsid w:val="000D58AB"/>
    <w:rsid w:val="000E5B77"/>
    <w:rsid w:val="000E608E"/>
    <w:rsid w:val="001075B7"/>
    <w:rsid w:val="001370F2"/>
    <w:rsid w:val="001549DD"/>
    <w:rsid w:val="00190B4D"/>
    <w:rsid w:val="00194CD0"/>
    <w:rsid w:val="001B08B3"/>
    <w:rsid w:val="001B7B6E"/>
    <w:rsid w:val="001C4281"/>
    <w:rsid w:val="001D0D3F"/>
    <w:rsid w:val="001F168B"/>
    <w:rsid w:val="001F70B7"/>
    <w:rsid w:val="0022606D"/>
    <w:rsid w:val="002305DD"/>
    <w:rsid w:val="00243BC7"/>
    <w:rsid w:val="002623FC"/>
    <w:rsid w:val="002747EC"/>
    <w:rsid w:val="002806CE"/>
    <w:rsid w:val="002855BF"/>
    <w:rsid w:val="002B256F"/>
    <w:rsid w:val="002C23CB"/>
    <w:rsid w:val="002C7CA1"/>
    <w:rsid w:val="002E0C55"/>
    <w:rsid w:val="002E1692"/>
    <w:rsid w:val="002F0D22"/>
    <w:rsid w:val="002F65CD"/>
    <w:rsid w:val="003172DC"/>
    <w:rsid w:val="00326069"/>
    <w:rsid w:val="00344D5C"/>
    <w:rsid w:val="003454FC"/>
    <w:rsid w:val="0035462D"/>
    <w:rsid w:val="00363177"/>
    <w:rsid w:val="003B3FB3"/>
    <w:rsid w:val="003C4E37"/>
    <w:rsid w:val="003E16BE"/>
    <w:rsid w:val="003E7223"/>
    <w:rsid w:val="00401855"/>
    <w:rsid w:val="00430A84"/>
    <w:rsid w:val="00464695"/>
    <w:rsid w:val="004A7434"/>
    <w:rsid w:val="004D3578"/>
    <w:rsid w:val="004D380D"/>
    <w:rsid w:val="004D3F58"/>
    <w:rsid w:val="004D5E47"/>
    <w:rsid w:val="004E213A"/>
    <w:rsid w:val="004E21FC"/>
    <w:rsid w:val="00503171"/>
    <w:rsid w:val="00511344"/>
    <w:rsid w:val="005153FE"/>
    <w:rsid w:val="005240A4"/>
    <w:rsid w:val="00534DA0"/>
    <w:rsid w:val="00543E6C"/>
    <w:rsid w:val="00544635"/>
    <w:rsid w:val="00565087"/>
    <w:rsid w:val="0056573F"/>
    <w:rsid w:val="00571CE2"/>
    <w:rsid w:val="0059277E"/>
    <w:rsid w:val="005A4971"/>
    <w:rsid w:val="005B1232"/>
    <w:rsid w:val="005B2EEF"/>
    <w:rsid w:val="005D4274"/>
    <w:rsid w:val="00605E3E"/>
    <w:rsid w:val="00606DA9"/>
    <w:rsid w:val="00611566"/>
    <w:rsid w:val="00656E1E"/>
    <w:rsid w:val="006C54B5"/>
    <w:rsid w:val="006D1E24"/>
    <w:rsid w:val="00734A5B"/>
    <w:rsid w:val="00743525"/>
    <w:rsid w:val="00744E76"/>
    <w:rsid w:val="007476DB"/>
    <w:rsid w:val="00757D40"/>
    <w:rsid w:val="00774846"/>
    <w:rsid w:val="00775B30"/>
    <w:rsid w:val="00776014"/>
    <w:rsid w:val="00781F0F"/>
    <w:rsid w:val="0078727C"/>
    <w:rsid w:val="007C095F"/>
    <w:rsid w:val="007D5902"/>
    <w:rsid w:val="00802106"/>
    <w:rsid w:val="008028A4"/>
    <w:rsid w:val="00806520"/>
    <w:rsid w:val="00840916"/>
    <w:rsid w:val="00853EDD"/>
    <w:rsid w:val="008604EE"/>
    <w:rsid w:val="008768CA"/>
    <w:rsid w:val="00880559"/>
    <w:rsid w:val="008B371E"/>
    <w:rsid w:val="008D5BF5"/>
    <w:rsid w:val="0090271F"/>
    <w:rsid w:val="00903D8C"/>
    <w:rsid w:val="00924DF5"/>
    <w:rsid w:val="00925A57"/>
    <w:rsid w:val="00942EC2"/>
    <w:rsid w:val="009543E4"/>
    <w:rsid w:val="00954BCB"/>
    <w:rsid w:val="00961B32"/>
    <w:rsid w:val="00971683"/>
    <w:rsid w:val="00972FD7"/>
    <w:rsid w:val="00973CC3"/>
    <w:rsid w:val="00974BB0"/>
    <w:rsid w:val="00981F1F"/>
    <w:rsid w:val="009A6E4F"/>
    <w:rsid w:val="009C4D5C"/>
    <w:rsid w:val="009D0A28"/>
    <w:rsid w:val="009D23F3"/>
    <w:rsid w:val="009F3B54"/>
    <w:rsid w:val="009F7E6E"/>
    <w:rsid w:val="00A07373"/>
    <w:rsid w:val="00A10F02"/>
    <w:rsid w:val="00A53724"/>
    <w:rsid w:val="00A82346"/>
    <w:rsid w:val="00A8361A"/>
    <w:rsid w:val="00A9671C"/>
    <w:rsid w:val="00AD4BCF"/>
    <w:rsid w:val="00AF78D5"/>
    <w:rsid w:val="00B03F24"/>
    <w:rsid w:val="00B1063A"/>
    <w:rsid w:val="00B15449"/>
    <w:rsid w:val="00B45726"/>
    <w:rsid w:val="00B9781E"/>
    <w:rsid w:val="00BC17EF"/>
    <w:rsid w:val="00BF79F1"/>
    <w:rsid w:val="00C03035"/>
    <w:rsid w:val="00C33079"/>
    <w:rsid w:val="00C43B31"/>
    <w:rsid w:val="00CA3D0C"/>
    <w:rsid w:val="00CB6651"/>
    <w:rsid w:val="00CB6887"/>
    <w:rsid w:val="00CD4C7B"/>
    <w:rsid w:val="00D04F10"/>
    <w:rsid w:val="00D22038"/>
    <w:rsid w:val="00D41993"/>
    <w:rsid w:val="00D738D6"/>
    <w:rsid w:val="00D80795"/>
    <w:rsid w:val="00D87E00"/>
    <w:rsid w:val="00D9134D"/>
    <w:rsid w:val="00D97CD9"/>
    <w:rsid w:val="00DA7A03"/>
    <w:rsid w:val="00DB1818"/>
    <w:rsid w:val="00DC309B"/>
    <w:rsid w:val="00DC4DA2"/>
    <w:rsid w:val="00DD1CC2"/>
    <w:rsid w:val="00DE1406"/>
    <w:rsid w:val="00E07838"/>
    <w:rsid w:val="00E340BC"/>
    <w:rsid w:val="00E62835"/>
    <w:rsid w:val="00E77645"/>
    <w:rsid w:val="00E852FF"/>
    <w:rsid w:val="00E90ABE"/>
    <w:rsid w:val="00EA22F8"/>
    <w:rsid w:val="00EC4A25"/>
    <w:rsid w:val="00EE0A1E"/>
    <w:rsid w:val="00F025A2"/>
    <w:rsid w:val="00F07B75"/>
    <w:rsid w:val="00F2026E"/>
    <w:rsid w:val="00F2210A"/>
    <w:rsid w:val="00F37743"/>
    <w:rsid w:val="00F54A3D"/>
    <w:rsid w:val="00F653B8"/>
    <w:rsid w:val="00F76F8F"/>
    <w:rsid w:val="00F83DCF"/>
    <w:rsid w:val="00FA1266"/>
    <w:rsid w:val="00FB2BEA"/>
    <w:rsid w:val="00FC1192"/>
    <w:rsid w:val="00FD5A55"/>
    <w:rsid w:val="00FE20D5"/>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C3D6D"/>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basedOn w:val="Normal"/>
    <w:uiPriority w:val="34"/>
    <w:qFormat/>
    <w:rsid w:val="00FE20D5"/>
    <w:pPr>
      <w:ind w:left="708"/>
    </w:pPr>
  </w:style>
  <w:style w:type="character" w:customStyle="1" w:styleId="B1Char">
    <w:name w:val="B1 Char"/>
    <w:link w:val="B1"/>
    <w:rsid w:val="008D5BF5"/>
    <w:rPr>
      <w:lang w:val="en-GB" w:eastAsia="en-US"/>
    </w:rPr>
  </w:style>
  <w:style w:type="character" w:styleId="CommentReference">
    <w:name w:val="annotation reference"/>
    <w:basedOn w:val="DefaultParagraphFont"/>
    <w:rsid w:val="00981F1F"/>
    <w:rPr>
      <w:sz w:val="16"/>
      <w:szCs w:val="16"/>
    </w:rPr>
  </w:style>
  <w:style w:type="paragraph" w:styleId="CommentText">
    <w:name w:val="annotation text"/>
    <w:basedOn w:val="Normal"/>
    <w:link w:val="CommentTextChar"/>
    <w:rsid w:val="00981F1F"/>
  </w:style>
  <w:style w:type="character" w:customStyle="1" w:styleId="CommentTextChar">
    <w:name w:val="Comment Text Char"/>
    <w:basedOn w:val="DefaultParagraphFont"/>
    <w:link w:val="CommentText"/>
    <w:rsid w:val="00981F1F"/>
    <w:rPr>
      <w:lang w:val="en-GB" w:eastAsia="en-US"/>
    </w:rPr>
  </w:style>
  <w:style w:type="paragraph" w:styleId="CommentSubject">
    <w:name w:val="annotation subject"/>
    <w:basedOn w:val="CommentText"/>
    <w:next w:val="CommentText"/>
    <w:link w:val="CommentSubjectChar"/>
    <w:rsid w:val="00981F1F"/>
    <w:rPr>
      <w:b/>
      <w:bCs/>
    </w:rPr>
  </w:style>
  <w:style w:type="character" w:customStyle="1" w:styleId="CommentSubjectChar">
    <w:name w:val="Comment Subject Char"/>
    <w:basedOn w:val="CommentTextChar"/>
    <w:link w:val="CommentSubject"/>
    <w:rsid w:val="00981F1F"/>
    <w:rPr>
      <w:b/>
      <w:bCs/>
      <w:lang w:val="en-GB" w:eastAsia="en-US"/>
    </w:rPr>
  </w:style>
  <w:style w:type="paragraph" w:styleId="Revision">
    <w:name w:val="Revision"/>
    <w:hidden/>
    <w:uiPriority w:val="99"/>
    <w:semiHidden/>
    <w:rsid w:val="00981F1F"/>
    <w:rPr>
      <w:lang w:val="en-GB" w:eastAsia="en-US"/>
    </w:rPr>
  </w:style>
  <w:style w:type="paragraph" w:styleId="BalloonText">
    <w:name w:val="Balloon Text"/>
    <w:basedOn w:val="Normal"/>
    <w:link w:val="BalloonTextChar"/>
    <w:rsid w:val="00981F1F"/>
    <w:pPr>
      <w:spacing w:after="0"/>
    </w:pPr>
    <w:rPr>
      <w:rFonts w:ascii="Segoe UI" w:hAnsi="Segoe UI" w:cs="Segoe UI"/>
      <w:sz w:val="18"/>
      <w:szCs w:val="18"/>
    </w:rPr>
  </w:style>
  <w:style w:type="character" w:customStyle="1" w:styleId="BalloonTextChar">
    <w:name w:val="Balloon Text Char"/>
    <w:basedOn w:val="DefaultParagraphFont"/>
    <w:link w:val="BalloonText"/>
    <w:rsid w:val="00981F1F"/>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90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31</TotalTime>
  <Pages>2</Pages>
  <Words>880</Words>
  <Characters>4844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9</cp:revision>
  <dcterms:created xsi:type="dcterms:W3CDTF">2019-11-21T20:12:00Z</dcterms:created>
  <dcterms:modified xsi:type="dcterms:W3CDTF">2019-11-22T17:17:00Z</dcterms:modified>
</cp:coreProperties>
</file>